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0C33A71F" w:rsidR="00DF2B9B" w:rsidRDefault="00DE381A" w:rsidP="00406C6F">
      <w:pPr>
        <w:ind w:left="-284" w:right="-575"/>
        <w:rPr>
          <w:rFonts w:cs="Times New Roman"/>
          <w:lang w:val="it-IT"/>
        </w:rPr>
      </w:pPr>
      <w:r w:rsidRPr="004E5222">
        <w:rPr>
          <w:rFonts w:cs="Times New Roman"/>
          <w:lang w:val="it-IT"/>
        </w:rPr>
        <w:t xml:space="preserve">Comunicato stampa n. </w:t>
      </w:r>
      <w:r w:rsidR="00DE3BF7">
        <w:rPr>
          <w:rFonts w:cs="Times New Roman"/>
          <w:lang w:val="it-IT"/>
        </w:rPr>
        <w:t>5</w:t>
      </w:r>
      <w:r w:rsidR="00406C6F">
        <w:rPr>
          <w:rFonts w:cs="Times New Roman"/>
          <w:lang w:val="it-IT"/>
        </w:rPr>
        <w:t>8</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406C6F">
      <w:pPr>
        <w:ind w:left="-284" w:right="-575"/>
        <w:rPr>
          <w:rFonts w:cs="Times New Roman"/>
          <w:lang w:val="it-IT"/>
        </w:rPr>
      </w:pPr>
    </w:p>
    <w:p w14:paraId="277B0FCD" w14:textId="77777777" w:rsidR="00406C6F" w:rsidRPr="00406C6F" w:rsidRDefault="00406C6F" w:rsidP="00406C6F">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406C6F">
        <w:rPr>
          <w:rFonts w:eastAsia="Calibri" w:cs="Times New Roman"/>
          <w:b/>
          <w:bCs/>
          <w:color w:val="auto"/>
          <w:sz w:val="28"/>
          <w:szCs w:val="28"/>
          <w:bdr w:val="none" w:sz="0" w:space="0" w:color="auto"/>
          <w:lang w:val="it-IT" w:eastAsia="en-US"/>
        </w:rPr>
        <w:t>Trattori. In Campania calano le vendite ma il mercato tiene</w:t>
      </w:r>
    </w:p>
    <w:p w14:paraId="3719EC70" w14:textId="77777777" w:rsidR="00406C6F" w:rsidRPr="00406C6F" w:rsidRDefault="00406C6F" w:rsidP="00406C6F">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78904AAB" w14:textId="293E87A3" w:rsidR="00406C6F" w:rsidRPr="00406C6F" w:rsidRDefault="00406C6F" w:rsidP="00406C6F">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406C6F">
        <w:rPr>
          <w:rFonts w:eastAsia="Calibri" w:cs="Times New Roman"/>
          <w:color w:val="auto"/>
          <w:bdr w:val="none" w:sz="0" w:space="0" w:color="auto"/>
          <w:lang w:val="it-IT" w:eastAsia="en-US"/>
        </w:rPr>
        <w:t xml:space="preserve">I primi dieci mesi dell’anno segnano per la Campania un calo delle vendite di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406C6F">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Campania sono state immatricolate 944 trattrici a fronte delle 1.123 registrate nello stesso periodo dello scorso anno (-15,9%). Il dato è in linea con la media nazionale (-15,3%). La frenata del mercato regionale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406C6F">
        <w:rPr>
          <w:rFonts w:eastAsia="Calibri" w:cs="Times New Roman"/>
          <w:color w:val="auto"/>
          <w:bdr w:val="none" w:sz="0" w:space="0" w:color="auto"/>
          <w:lang w:val="it-IT" w:eastAsia="en-US"/>
        </w:rPr>
        <w:t>pre</w:t>
      </w:r>
      <w:proofErr w:type="spellEnd"/>
      <w:r w:rsidRPr="00406C6F">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04CC" w14:textId="77777777" w:rsidR="009B7BEC" w:rsidRDefault="009B7BEC">
      <w:r>
        <w:separator/>
      </w:r>
    </w:p>
  </w:endnote>
  <w:endnote w:type="continuationSeparator" w:id="0">
    <w:p w14:paraId="32695F31" w14:textId="77777777" w:rsidR="009B7BEC" w:rsidRDefault="009B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375D" w14:textId="77777777" w:rsidR="009B7BEC" w:rsidRDefault="009B7BEC">
      <w:r>
        <w:separator/>
      </w:r>
    </w:p>
  </w:footnote>
  <w:footnote w:type="continuationSeparator" w:id="0">
    <w:p w14:paraId="141F51D6" w14:textId="77777777" w:rsidR="009B7BEC" w:rsidRDefault="009B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B7BEC"/>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2022-11-12T16:57:00Z</dcterms:created>
  <dcterms:modified xsi:type="dcterms:W3CDTF">2022-11-12T16:57:00Z</dcterms:modified>
</cp:coreProperties>
</file>